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1A" w:rsidRDefault="00236836" w:rsidP="00872E1A">
      <w:pPr>
        <w:spacing w:after="0" w:line="240" w:lineRule="auto"/>
        <w:ind w:left="-630"/>
        <w:jc w:val="center"/>
        <w:rPr>
          <w:rFonts w:ascii="Times New Roman" w:hAnsi="Times New Roman" w:cs="Times New Roman"/>
          <w:b/>
          <w:sz w:val="24"/>
          <w:szCs w:val="24"/>
        </w:rPr>
      </w:pPr>
      <w:r>
        <w:rPr>
          <w:rFonts w:ascii="Times New Roman" w:hAnsi="Times New Roman" w:cs="Times New Roman"/>
          <w:b/>
          <w:sz w:val="24"/>
          <w:szCs w:val="24"/>
        </w:rPr>
        <w:t>Manual Edits to Print – January 2016</w:t>
      </w:r>
    </w:p>
    <w:p w:rsidR="00D77976" w:rsidRDefault="00D77976" w:rsidP="007053F2">
      <w:pPr>
        <w:spacing w:after="0" w:line="240" w:lineRule="auto"/>
        <w:ind w:left="-630"/>
        <w:rPr>
          <w:rFonts w:ascii="Times New Roman" w:hAnsi="Times New Roman" w:cs="Times New Roman"/>
          <w:b/>
          <w:u w:val="single"/>
        </w:rPr>
      </w:pPr>
    </w:p>
    <w:p w:rsidR="00D77976" w:rsidRDefault="001B43C5" w:rsidP="007053F2">
      <w:pPr>
        <w:spacing w:after="0" w:line="240" w:lineRule="auto"/>
        <w:ind w:left="-630"/>
        <w:rPr>
          <w:rFonts w:ascii="Times New Roman" w:hAnsi="Times New Roman" w:cs="Times New Roman"/>
          <w:b/>
          <w:color w:val="FF0000"/>
        </w:rPr>
      </w:pPr>
      <w:r w:rsidRPr="001B43C5">
        <w:rPr>
          <w:rFonts w:ascii="Times New Roman" w:hAnsi="Times New Roman" w:cs="Times New Roman"/>
          <w:b/>
        </w:rPr>
        <w:t>¶815</w:t>
      </w:r>
      <w:r w:rsidRPr="001B43C5">
        <w:rPr>
          <w:rFonts w:ascii="Times New Roman" w:hAnsi="Times New Roman" w:cs="Times New Roman"/>
          <w:b/>
        </w:rPr>
        <w:tab/>
        <w:t>MINISTERIAL CANDIDATES</w:t>
      </w:r>
      <w:r w:rsidR="00D33BF3">
        <w:rPr>
          <w:rFonts w:ascii="Times New Roman" w:hAnsi="Times New Roman" w:cs="Times New Roman"/>
          <w:b/>
          <w:color w:val="FF0000"/>
        </w:rPr>
        <w:t xml:space="preserve">  </w:t>
      </w:r>
    </w:p>
    <w:p w:rsidR="00D91275" w:rsidRPr="00D91275" w:rsidRDefault="00D91275" w:rsidP="00D91275">
      <w:pPr>
        <w:tabs>
          <w:tab w:val="left" w:pos="547"/>
          <w:tab w:val="left" w:pos="1080"/>
          <w:tab w:val="left" w:pos="1440"/>
        </w:tabs>
        <w:spacing w:after="0" w:line="240" w:lineRule="auto"/>
        <w:ind w:left="-630"/>
        <w:jc w:val="both"/>
        <w:rPr>
          <w:rFonts w:ascii="Times New Roman" w:eastAsia="Times New Roman" w:hAnsi="Times New Roman" w:cs="Times New Roman"/>
        </w:rPr>
      </w:pPr>
      <w:r>
        <w:rPr>
          <w:rFonts w:ascii="Times New Roman" w:eastAsia="Times New Roman" w:hAnsi="Times New Roman" w:cs="Times New Roman"/>
        </w:rPr>
        <w:t xml:space="preserve">… </w:t>
      </w:r>
      <w:r w:rsidRPr="00D91275">
        <w:rPr>
          <w:rFonts w:ascii="Times New Roman" w:eastAsia="Times New Roman" w:hAnsi="Times New Roman" w:cs="Times New Roman"/>
        </w:rPr>
        <w:t xml:space="preserve">Ministerial candidates maintain their standing in the conference by an annual recommendation of the </w:t>
      </w:r>
      <w:proofErr w:type="spellStart"/>
      <w:r w:rsidRPr="00D91275">
        <w:rPr>
          <w:rFonts w:ascii="Times New Roman" w:eastAsia="Times New Roman" w:hAnsi="Times New Roman" w:cs="Times New Roman"/>
        </w:rPr>
        <w:t>MEGaP</w:t>
      </w:r>
      <w:proofErr w:type="spellEnd"/>
      <w:r w:rsidRPr="00D91275">
        <w:rPr>
          <w:rFonts w:ascii="Times New Roman" w:eastAsia="Times New Roman" w:hAnsi="Times New Roman" w:cs="Times New Roman"/>
        </w:rPr>
        <w:t xml:space="preserve"> committee.</w:t>
      </w:r>
    </w:p>
    <w:p w:rsidR="00D91275" w:rsidRPr="00D91275" w:rsidRDefault="00D91275" w:rsidP="00D91275">
      <w:pPr>
        <w:tabs>
          <w:tab w:val="left" w:pos="547"/>
          <w:tab w:val="left" w:pos="1080"/>
          <w:tab w:val="left" w:pos="1440"/>
        </w:tabs>
        <w:spacing w:after="0" w:line="240" w:lineRule="auto"/>
        <w:ind w:left="-630"/>
        <w:jc w:val="both"/>
        <w:rPr>
          <w:rFonts w:ascii="Times New Roman" w:eastAsia="Times New Roman" w:hAnsi="Times New Roman" w:cs="Times New Roman"/>
        </w:rPr>
      </w:pPr>
    </w:p>
    <w:p w:rsidR="00D33BF3" w:rsidRPr="001B43C5" w:rsidRDefault="00D33BF3" w:rsidP="007053F2">
      <w:pPr>
        <w:tabs>
          <w:tab w:val="left" w:pos="547"/>
          <w:tab w:val="left" w:pos="1080"/>
          <w:tab w:val="left" w:pos="1440"/>
        </w:tabs>
        <w:spacing w:after="0" w:line="240" w:lineRule="auto"/>
        <w:ind w:left="-630"/>
        <w:jc w:val="both"/>
        <w:rPr>
          <w:rFonts w:ascii="Times New Roman" w:eastAsia="Times New Roman" w:hAnsi="Times New Roman" w:cs="Times New Roman"/>
          <w:color w:val="FF0000"/>
        </w:rPr>
      </w:pPr>
      <w:r w:rsidRPr="00236836">
        <w:rPr>
          <w:rFonts w:ascii="Times New Roman" w:eastAsia="Times New Roman" w:hAnsi="Times New Roman" w:cs="Times New Roman"/>
        </w:rPr>
        <w:t>Ministerial candidates must be appointed by the conference in order to track toward</w:t>
      </w:r>
      <w:r w:rsidR="00D77976" w:rsidRPr="00236836">
        <w:rPr>
          <w:rFonts w:ascii="Times New Roman" w:eastAsia="Times New Roman" w:hAnsi="Times New Roman" w:cs="Times New Roman"/>
        </w:rPr>
        <w:t xml:space="preserve"> being ordained </w:t>
      </w:r>
      <w:r w:rsidRPr="00236836">
        <w:rPr>
          <w:rFonts w:ascii="Times New Roman" w:eastAsia="Times New Roman" w:hAnsi="Times New Roman" w:cs="Times New Roman"/>
        </w:rPr>
        <w:t>or commissioned minister.</w:t>
      </w:r>
      <w:r w:rsidR="00236836" w:rsidRPr="00236836">
        <w:rPr>
          <w:rFonts w:ascii="Times New Roman" w:eastAsia="Times New Roman" w:hAnsi="Times New Roman" w:cs="Times New Roman"/>
        </w:rPr>
        <w:t xml:space="preserve"> </w:t>
      </w:r>
      <w:r w:rsidRPr="00236836">
        <w:rPr>
          <w:rFonts w:ascii="Times New Roman" w:eastAsia="Times New Roman" w:hAnsi="Times New Roman" w:cs="Times New Roman"/>
        </w:rPr>
        <w:t xml:space="preserve">Once appointed, they may solemnize marriages and administer the sacraments.  </w:t>
      </w:r>
      <w:r w:rsidR="00D77976" w:rsidRPr="00236836">
        <w:rPr>
          <w:rFonts w:ascii="Times New Roman" w:eastAsia="Times New Roman" w:hAnsi="Times New Roman" w:cs="Times New Roman"/>
        </w:rPr>
        <w:t>If a ministerial c</w:t>
      </w:r>
      <w:r w:rsidRPr="00236836">
        <w:rPr>
          <w:rFonts w:ascii="Times New Roman" w:eastAsia="Times New Roman" w:hAnsi="Times New Roman" w:cs="Times New Roman"/>
        </w:rPr>
        <w:t xml:space="preserve">andidate’s appointment is discontinued, </w:t>
      </w:r>
      <w:r w:rsidR="00D77976" w:rsidRPr="00236836">
        <w:rPr>
          <w:rFonts w:ascii="Times New Roman" w:eastAsia="Times New Roman" w:hAnsi="Times New Roman" w:cs="Times New Roman"/>
        </w:rPr>
        <w:t>the ministerial c</w:t>
      </w:r>
      <w:r w:rsidRPr="00236836">
        <w:rPr>
          <w:rFonts w:ascii="Times New Roman" w:eastAsia="Times New Roman" w:hAnsi="Times New Roman" w:cs="Times New Roman"/>
        </w:rPr>
        <w:t xml:space="preserve">andidate credential is automatically withdrawn and the tracking process becomes ‘inactive’.  If another appointment request is sent to the Bishop, </w:t>
      </w:r>
      <w:proofErr w:type="spellStart"/>
      <w:r w:rsidRPr="00236836">
        <w:rPr>
          <w:rFonts w:ascii="Times New Roman" w:eastAsia="Times New Roman" w:hAnsi="Times New Roman" w:cs="Times New Roman"/>
        </w:rPr>
        <w:t>MEGaP</w:t>
      </w:r>
      <w:proofErr w:type="spellEnd"/>
      <w:r w:rsidRPr="00236836">
        <w:rPr>
          <w:rFonts w:ascii="Times New Roman" w:eastAsia="Times New Roman" w:hAnsi="Times New Roman" w:cs="Times New Roman"/>
        </w:rPr>
        <w:t xml:space="preserve"> will vote on both the reinstatement of</w:t>
      </w:r>
      <w:r w:rsidR="00D77976" w:rsidRPr="00236836">
        <w:rPr>
          <w:rFonts w:ascii="Times New Roman" w:eastAsia="Times New Roman" w:hAnsi="Times New Roman" w:cs="Times New Roman"/>
        </w:rPr>
        <w:t xml:space="preserve"> the ministerial c</w:t>
      </w:r>
      <w:r w:rsidRPr="00236836">
        <w:rPr>
          <w:rFonts w:ascii="Times New Roman" w:eastAsia="Times New Roman" w:hAnsi="Times New Roman" w:cs="Times New Roman"/>
        </w:rPr>
        <w:t xml:space="preserve">andidate credential and the appointment request.  If both are approved, </w:t>
      </w:r>
      <w:r w:rsidR="00D77976" w:rsidRPr="00236836">
        <w:rPr>
          <w:rFonts w:ascii="Times New Roman" w:eastAsia="Times New Roman" w:hAnsi="Times New Roman" w:cs="Times New Roman"/>
        </w:rPr>
        <w:t>the ministerial c</w:t>
      </w:r>
      <w:r w:rsidRPr="00236836">
        <w:rPr>
          <w:rFonts w:ascii="Times New Roman" w:eastAsia="Times New Roman" w:hAnsi="Times New Roman" w:cs="Times New Roman"/>
        </w:rPr>
        <w:t>andidate can resume the tracking process</w:t>
      </w:r>
      <w:r w:rsidRPr="00236836">
        <w:rPr>
          <w:rFonts w:ascii="Times New Roman" w:eastAsia="Times New Roman" w:hAnsi="Times New Roman" w:cs="Times New Roman"/>
          <w:color w:val="FF0000"/>
        </w:rPr>
        <w:t>.</w:t>
      </w:r>
    </w:p>
    <w:p w:rsidR="001B43C5" w:rsidRDefault="001B43C5" w:rsidP="007053F2">
      <w:pPr>
        <w:spacing w:after="0" w:line="240" w:lineRule="auto"/>
        <w:ind w:left="-630"/>
        <w:rPr>
          <w:rFonts w:ascii="Times New Roman" w:hAnsi="Times New Roman" w:cs="Times New Roman"/>
          <w:b/>
        </w:rPr>
      </w:pPr>
    </w:p>
    <w:p w:rsidR="00D91275" w:rsidRDefault="00D91275" w:rsidP="00D91275">
      <w:pPr>
        <w:tabs>
          <w:tab w:val="left" w:pos="547"/>
          <w:tab w:val="left" w:pos="1080"/>
          <w:tab w:val="left" w:pos="1440"/>
        </w:tabs>
        <w:spacing w:after="0" w:line="240" w:lineRule="auto"/>
        <w:ind w:left="-630"/>
        <w:jc w:val="both"/>
        <w:rPr>
          <w:rFonts w:ascii="Times New Roman" w:eastAsia="Times New Roman" w:hAnsi="Times New Roman" w:cs="Times New Roman"/>
        </w:rPr>
      </w:pPr>
      <w:r w:rsidRPr="00D91275">
        <w:rPr>
          <w:rFonts w:ascii="Times New Roman" w:eastAsia="Times New Roman" w:hAnsi="Times New Roman" w:cs="Times New Roman"/>
        </w:rPr>
        <w:t xml:space="preserve">A ministerial candidate may be appointed as a church planter upon recommendation to </w:t>
      </w:r>
      <w:proofErr w:type="spellStart"/>
      <w:r w:rsidRPr="00D91275">
        <w:rPr>
          <w:rFonts w:ascii="Times New Roman" w:eastAsia="Times New Roman" w:hAnsi="Times New Roman" w:cs="Times New Roman"/>
        </w:rPr>
        <w:t>MEGaP</w:t>
      </w:r>
      <w:proofErr w:type="spellEnd"/>
      <w:r w:rsidRPr="00D91275">
        <w:rPr>
          <w:rFonts w:ascii="Times New Roman" w:eastAsia="Times New Roman" w:hAnsi="Times New Roman" w:cs="Times New Roman"/>
        </w:rPr>
        <w:t xml:space="preserve"> from the director of church planting.</w:t>
      </w:r>
    </w:p>
    <w:p w:rsidR="00D91275" w:rsidRDefault="00D91275" w:rsidP="007053F2">
      <w:pPr>
        <w:spacing w:after="0" w:line="240" w:lineRule="auto"/>
        <w:ind w:left="-630"/>
        <w:rPr>
          <w:rFonts w:ascii="Times New Roman" w:hAnsi="Times New Roman" w:cs="Times New Roman"/>
          <w:b/>
        </w:rPr>
      </w:pPr>
    </w:p>
    <w:p w:rsidR="001B43C5" w:rsidRPr="001B43C5" w:rsidRDefault="001B43C5" w:rsidP="007053F2">
      <w:pPr>
        <w:pStyle w:val="Heading1"/>
        <w:ind w:left="-630"/>
        <w:rPr>
          <w:rFonts w:ascii="Times New Roman" w:hAnsi="Times New Roman" w:cs="Times New Roman"/>
          <w:color w:val="auto"/>
          <w:sz w:val="22"/>
          <w:szCs w:val="22"/>
        </w:rPr>
      </w:pPr>
      <w:r w:rsidRPr="002D4C14">
        <w:rPr>
          <w:rFonts w:ascii="Times New Roman" w:hAnsi="Times New Roman" w:cs="Times New Roman"/>
          <w:b/>
          <w:color w:val="auto"/>
          <w:sz w:val="22"/>
          <w:szCs w:val="22"/>
        </w:rPr>
        <w:t>¶816</w:t>
      </w:r>
      <w:proofErr w:type="gramStart"/>
      <w:r w:rsidRPr="002D4C14">
        <w:rPr>
          <w:rFonts w:ascii="Times New Roman" w:hAnsi="Times New Roman" w:cs="Times New Roman"/>
          <w:b/>
          <w:color w:val="auto"/>
          <w:sz w:val="22"/>
          <w:szCs w:val="22"/>
        </w:rPr>
        <w:t>  SEPARATION</w:t>
      </w:r>
      <w:proofErr w:type="gramEnd"/>
      <w:r w:rsidRPr="002D4C14">
        <w:rPr>
          <w:rFonts w:ascii="Times New Roman" w:hAnsi="Times New Roman" w:cs="Times New Roman"/>
          <w:b/>
          <w:color w:val="auto"/>
          <w:sz w:val="22"/>
          <w:szCs w:val="22"/>
        </w:rPr>
        <w:t>, DIVORCE AND THE MINISTRY</w:t>
      </w:r>
      <w:r w:rsidRPr="001B43C5">
        <w:rPr>
          <w:rFonts w:ascii="Times New Roman" w:hAnsi="Times New Roman" w:cs="Times New Roman"/>
          <w:color w:val="auto"/>
          <w:sz w:val="22"/>
          <w:szCs w:val="22"/>
        </w:rPr>
        <w:t xml:space="preserve">    </w:t>
      </w:r>
    </w:p>
    <w:p w:rsidR="001B43C5" w:rsidRPr="00236836" w:rsidRDefault="001B43C5" w:rsidP="007053F2">
      <w:pPr>
        <w:ind w:left="-630"/>
        <w:rPr>
          <w:rFonts w:ascii="Times New Roman" w:hAnsi="Times New Roman" w:cs="Times New Roman"/>
          <w:iCs/>
        </w:rPr>
      </w:pPr>
      <w:r w:rsidRPr="00236836">
        <w:rPr>
          <w:rFonts w:ascii="Times New Roman" w:hAnsi="Times New Roman" w:cs="Times New Roman"/>
          <w:iCs/>
        </w:rPr>
        <w:t xml:space="preserve">A person who has been divorced or is married to a spouse previously divorced, shall not be admitted to ministerial candidacy, nor to the conference, nor by transfer, nor allowed to be under any type of appointment unless cleared by the </w:t>
      </w:r>
      <w:proofErr w:type="spellStart"/>
      <w:r w:rsidRPr="00236836">
        <w:rPr>
          <w:rFonts w:ascii="Times New Roman" w:hAnsi="Times New Roman" w:cs="Times New Roman"/>
          <w:iCs/>
        </w:rPr>
        <w:t>MEGaP</w:t>
      </w:r>
      <w:proofErr w:type="spellEnd"/>
      <w:r w:rsidRPr="00236836">
        <w:rPr>
          <w:rFonts w:ascii="Times New Roman" w:hAnsi="Times New Roman" w:cs="Times New Roman"/>
          <w:iCs/>
        </w:rPr>
        <w:t xml:space="preserve"> committee. (See ¶430.2.2.8.).  Divorce shall not in itself bar a person from consideration for conference membership, or for an appointment.</w:t>
      </w:r>
      <w:r w:rsidRPr="00236836">
        <w:rPr>
          <w:rFonts w:ascii="Times New Roman" w:hAnsi="Times New Roman" w:cs="Times New Roman"/>
          <w:iCs/>
        </w:rPr>
        <w:br/>
      </w:r>
      <w:r w:rsidRPr="00236836">
        <w:rPr>
          <w:rFonts w:ascii="Times New Roman" w:hAnsi="Times New Roman" w:cs="Times New Roman"/>
          <w:iCs/>
        </w:rPr>
        <w:br/>
        <w:t xml:space="preserve">When there is marital stress and conflict in a ministerial marriage, ministers are urged to initiate early intervention and to take proactive steps, in consultation with conference leadership, to access resources to receive professional help for healing the relationship.  If the conflict escalates to the point where it is no longer advisable or healthy for the couple to continue to live together and separation becomes necessary, the minister must immediately apply to the official board for a paid leave of absence so that he/she can focus on regaining marital health.  </w:t>
      </w:r>
    </w:p>
    <w:p w:rsidR="001B43C5" w:rsidRPr="00236836" w:rsidRDefault="001B43C5" w:rsidP="007053F2">
      <w:pPr>
        <w:ind w:left="-630"/>
        <w:rPr>
          <w:rFonts w:ascii="Times New Roman" w:hAnsi="Times New Roman" w:cs="Times New Roman"/>
          <w:iCs/>
        </w:rPr>
      </w:pPr>
      <w:r w:rsidRPr="00236836">
        <w:rPr>
          <w:rFonts w:ascii="Times New Roman" w:hAnsi="Times New Roman" w:cs="Times New Roman"/>
          <w:iCs/>
        </w:rPr>
        <w:t xml:space="preserve">If the leave of absence is granted and the ministerial couple has not reconciled as the end of the leave of absence approaches, the bishop or designate will meet separately with the pastor and the board to assess the advisability of the pastor returning to serve at the church while separated. If it is agreed that the pastor can continue, the pastor will need to agree to an ongoing month-to-month probationary relationship with the local church, the terms of which (e.g. performance/ accountability expectations), will be laid out in writing.  </w:t>
      </w:r>
      <w:r w:rsidRPr="00236836">
        <w:rPr>
          <w:rFonts w:ascii="Times New Roman" w:hAnsi="Times New Roman" w:cs="Times New Roman"/>
        </w:rPr>
        <w:t>If the separation eventually results in a divorce, the following guidance is to be followed.</w:t>
      </w:r>
    </w:p>
    <w:p w:rsidR="001B43C5" w:rsidRPr="00236836" w:rsidRDefault="001B43C5" w:rsidP="007053F2">
      <w:pPr>
        <w:ind w:left="-630"/>
        <w:rPr>
          <w:rFonts w:ascii="Times New Roman" w:hAnsi="Times New Roman" w:cs="Times New Roman"/>
          <w:iCs/>
        </w:rPr>
      </w:pPr>
      <w:r w:rsidRPr="00236836">
        <w:rPr>
          <w:rFonts w:ascii="Times New Roman" w:hAnsi="Times New Roman" w:cs="Times New Roman"/>
          <w:iCs/>
        </w:rPr>
        <w:t xml:space="preserve">A minister, who is divorced, must provide </w:t>
      </w:r>
      <w:proofErr w:type="spellStart"/>
      <w:r w:rsidRPr="00236836">
        <w:rPr>
          <w:rFonts w:ascii="Times New Roman" w:hAnsi="Times New Roman" w:cs="Times New Roman"/>
          <w:iCs/>
        </w:rPr>
        <w:t>MEGaP</w:t>
      </w:r>
      <w:proofErr w:type="spellEnd"/>
      <w:r w:rsidRPr="00236836">
        <w:rPr>
          <w:rFonts w:ascii="Times New Roman" w:hAnsi="Times New Roman" w:cs="Times New Roman"/>
          <w:iCs/>
        </w:rPr>
        <w:t xml:space="preserve"> with a statement of the circumstances of the divorce and be cleared by </w:t>
      </w:r>
      <w:proofErr w:type="spellStart"/>
      <w:r w:rsidRPr="00236836">
        <w:rPr>
          <w:rFonts w:ascii="Times New Roman" w:hAnsi="Times New Roman" w:cs="Times New Roman"/>
          <w:iCs/>
        </w:rPr>
        <w:t>MEGaP</w:t>
      </w:r>
      <w:proofErr w:type="spellEnd"/>
      <w:r w:rsidRPr="00236836">
        <w:rPr>
          <w:rFonts w:ascii="Times New Roman" w:hAnsi="Times New Roman" w:cs="Times New Roman"/>
          <w:iCs/>
        </w:rPr>
        <w:t xml:space="preserve"> before being considered for an appointment (See 430.2.8.).  </w:t>
      </w:r>
    </w:p>
    <w:p w:rsidR="001B43C5" w:rsidRPr="00236836" w:rsidRDefault="001B43C5" w:rsidP="007053F2">
      <w:pPr>
        <w:ind w:left="-630"/>
        <w:rPr>
          <w:rFonts w:ascii="Times New Roman" w:eastAsia="Calibri" w:hAnsi="Times New Roman" w:cs="Times New Roman"/>
          <w:lang w:eastAsia="en-CA"/>
        </w:rPr>
      </w:pPr>
      <w:r w:rsidRPr="00236836">
        <w:rPr>
          <w:rFonts w:ascii="Times New Roman" w:hAnsi="Times New Roman" w:cs="Times New Roman"/>
          <w:iCs/>
        </w:rPr>
        <w:t xml:space="preserve">He/she also may not remarry unless </w:t>
      </w:r>
      <w:proofErr w:type="spellStart"/>
      <w:r w:rsidRPr="00236836">
        <w:rPr>
          <w:rFonts w:ascii="Times New Roman" w:hAnsi="Times New Roman" w:cs="Times New Roman"/>
          <w:iCs/>
        </w:rPr>
        <w:t>MEGaP</w:t>
      </w:r>
      <w:proofErr w:type="spellEnd"/>
      <w:r w:rsidRPr="00236836">
        <w:rPr>
          <w:rFonts w:ascii="Times New Roman" w:hAnsi="Times New Roman" w:cs="Times New Roman"/>
          <w:iCs/>
        </w:rPr>
        <w:t xml:space="preserve"> has cleared them.  If a minister’s </w:t>
      </w:r>
      <w:proofErr w:type="gramStart"/>
      <w:r w:rsidRPr="00236836">
        <w:rPr>
          <w:rFonts w:ascii="Times New Roman" w:hAnsi="Times New Roman" w:cs="Times New Roman"/>
          <w:iCs/>
        </w:rPr>
        <w:t>fiancé(</w:t>
      </w:r>
      <w:proofErr w:type="gramEnd"/>
      <w:r w:rsidRPr="00236836">
        <w:rPr>
          <w:rFonts w:ascii="Times New Roman" w:hAnsi="Times New Roman" w:cs="Times New Roman"/>
          <w:iCs/>
        </w:rPr>
        <w:t>e) has been divorced</w:t>
      </w:r>
      <w:r w:rsidR="00236836" w:rsidRPr="00236836">
        <w:rPr>
          <w:rFonts w:ascii="Times New Roman" w:hAnsi="Times New Roman" w:cs="Times New Roman"/>
          <w:iCs/>
        </w:rPr>
        <w:t>.</w:t>
      </w:r>
      <w:r w:rsidRPr="00236836">
        <w:rPr>
          <w:rFonts w:ascii="Times New Roman" w:hAnsi="Times New Roman" w:cs="Times New Roman"/>
          <w:iCs/>
        </w:rPr>
        <w:t xml:space="preserve">, his/her fiancé(e)’s divorce must be cleared by </w:t>
      </w:r>
      <w:proofErr w:type="spellStart"/>
      <w:r w:rsidRPr="00236836">
        <w:rPr>
          <w:rFonts w:ascii="Times New Roman" w:hAnsi="Times New Roman" w:cs="Times New Roman"/>
          <w:iCs/>
        </w:rPr>
        <w:t>MEGaP</w:t>
      </w:r>
      <w:proofErr w:type="spellEnd"/>
      <w:r w:rsidRPr="00236836">
        <w:rPr>
          <w:rFonts w:ascii="Times New Roman" w:hAnsi="Times New Roman" w:cs="Times New Roman"/>
          <w:iCs/>
        </w:rPr>
        <w:t xml:space="preserve"> prior to marrying.  </w:t>
      </w:r>
      <w:r w:rsidRPr="00236836">
        <w:rPr>
          <w:rFonts w:ascii="Times New Roman" w:eastAsia="Calibri" w:hAnsi="Times New Roman" w:cs="Times New Roman"/>
          <w:lang w:eastAsia="en-CA"/>
        </w:rPr>
        <w:t xml:space="preserve">A minister who marries contrary to these guidelines shall be subject to discipline and shall not be re-appointed by the conference until cleared by </w:t>
      </w:r>
      <w:proofErr w:type="spellStart"/>
      <w:r w:rsidRPr="00236836">
        <w:rPr>
          <w:rFonts w:ascii="Times New Roman" w:eastAsia="Calibri" w:hAnsi="Times New Roman" w:cs="Times New Roman"/>
          <w:lang w:eastAsia="en-CA"/>
        </w:rPr>
        <w:t>MEGaP</w:t>
      </w:r>
      <w:proofErr w:type="spellEnd"/>
      <w:r w:rsidRPr="00236836">
        <w:rPr>
          <w:rFonts w:ascii="Times New Roman" w:eastAsia="Calibri" w:hAnsi="Times New Roman" w:cs="Times New Roman"/>
          <w:lang w:eastAsia="en-CA"/>
        </w:rPr>
        <w:t xml:space="preserve">.  </w:t>
      </w:r>
    </w:p>
    <w:p w:rsidR="00EA582C" w:rsidRDefault="001B43C5" w:rsidP="007053F2">
      <w:pPr>
        <w:ind w:left="-630"/>
        <w:rPr>
          <w:rFonts w:ascii="Times New Roman" w:eastAsia="Calibri" w:hAnsi="Times New Roman" w:cs="Times New Roman"/>
          <w:lang w:eastAsia="en-CA"/>
        </w:rPr>
      </w:pPr>
      <w:r w:rsidRPr="00236836">
        <w:rPr>
          <w:rFonts w:ascii="Times New Roman" w:eastAsia="Calibri" w:hAnsi="Times New Roman" w:cs="Times New Roman"/>
          <w:lang w:eastAsia="en-CA"/>
        </w:rPr>
        <w:t>If the divorce of a minister (or his/her new spouse) is not cleared, he/she is not in good standing with the conference and shall withdraw from and return his/her credentials to the conference.  He/she can be approved for lay membership in a local church.</w:t>
      </w:r>
    </w:p>
    <w:p w:rsidR="002D4C14" w:rsidRDefault="002D4C14" w:rsidP="007053F2">
      <w:pPr>
        <w:pStyle w:val="Heading2"/>
        <w:ind w:left="-630"/>
        <w:jc w:val="both"/>
        <w:rPr>
          <w:szCs w:val="22"/>
        </w:rPr>
      </w:pPr>
    </w:p>
    <w:p w:rsidR="002D4C14" w:rsidRDefault="005D387D" w:rsidP="002D4C14">
      <w:pPr>
        <w:pStyle w:val="Heading2"/>
        <w:ind w:left="-630"/>
        <w:jc w:val="both"/>
        <w:rPr>
          <w:caps w:val="0"/>
          <w:szCs w:val="22"/>
        </w:rPr>
      </w:pPr>
      <w:r w:rsidRPr="001B43C5">
        <w:rPr>
          <w:szCs w:val="22"/>
        </w:rPr>
        <w:t>¶</w:t>
      </w:r>
      <w:r w:rsidRPr="001B43C5">
        <w:rPr>
          <w:caps w:val="0"/>
          <w:szCs w:val="22"/>
        </w:rPr>
        <w:t>852</w:t>
      </w:r>
      <w:r w:rsidRPr="001B43C5">
        <w:rPr>
          <w:caps w:val="0"/>
          <w:szCs w:val="22"/>
        </w:rPr>
        <w:tab/>
        <w:t>SPECIAL APPOINTMENTS</w:t>
      </w:r>
    </w:p>
    <w:p w:rsidR="005D387D" w:rsidRPr="00236836" w:rsidRDefault="005D387D" w:rsidP="00811CC3">
      <w:pPr>
        <w:pStyle w:val="Heading2"/>
        <w:ind w:left="-630"/>
        <w:jc w:val="both"/>
      </w:pPr>
      <w:r w:rsidRPr="00236836">
        <w:t>CHURCH PLANTERS</w:t>
      </w:r>
    </w:p>
    <w:p w:rsidR="00D77976" w:rsidRPr="00236836" w:rsidRDefault="00EA582C" w:rsidP="007053F2">
      <w:pPr>
        <w:pStyle w:val="ListParagraph"/>
        <w:spacing w:after="0" w:line="240" w:lineRule="auto"/>
        <w:ind w:left="-630"/>
        <w:rPr>
          <w:rFonts w:ascii="Times New Roman" w:hAnsi="Times New Roman" w:cs="Times New Roman"/>
        </w:rPr>
      </w:pPr>
      <w:r w:rsidRPr="00236836">
        <w:rPr>
          <w:rFonts w:ascii="Times New Roman" w:hAnsi="Times New Roman" w:cs="Times New Roman"/>
        </w:rPr>
        <w:t>Ministers who are planting churches may be granted special appointments to</w:t>
      </w:r>
      <w:r w:rsidR="00D77976" w:rsidRPr="00236836">
        <w:rPr>
          <w:rFonts w:ascii="Times New Roman" w:hAnsi="Times New Roman" w:cs="Times New Roman"/>
        </w:rPr>
        <w:t xml:space="preserve"> the setting (neighbourhood, village, town) where they are working to establish a church plant.</w:t>
      </w:r>
    </w:p>
    <w:p w:rsidR="00EA582C" w:rsidRPr="00236836" w:rsidRDefault="00EA582C" w:rsidP="007053F2">
      <w:pPr>
        <w:pStyle w:val="ListParagraph"/>
        <w:spacing w:after="0" w:line="240" w:lineRule="auto"/>
        <w:ind w:left="-630"/>
        <w:rPr>
          <w:rFonts w:ascii="Times New Roman" w:hAnsi="Times New Roman" w:cs="Times New Roman"/>
        </w:rPr>
      </w:pPr>
    </w:p>
    <w:p w:rsidR="00EA582C" w:rsidRPr="00EA582C" w:rsidRDefault="00EA582C" w:rsidP="007053F2">
      <w:pPr>
        <w:pStyle w:val="ListParagraph"/>
        <w:spacing w:after="0" w:line="240" w:lineRule="auto"/>
        <w:ind w:left="-630"/>
        <w:rPr>
          <w:rFonts w:ascii="Calibri" w:hAnsi="Calibri" w:cs="Times New Roman"/>
          <w:color w:val="2F5496" w:themeColor="accent5" w:themeShade="BF"/>
        </w:rPr>
      </w:pPr>
    </w:p>
    <w:p w:rsidR="002D4C14" w:rsidRPr="00811CC3" w:rsidRDefault="005D387D" w:rsidP="00811CC3">
      <w:pPr>
        <w:pStyle w:val="Heading2"/>
        <w:ind w:left="-630"/>
        <w:jc w:val="both"/>
        <w:rPr>
          <w:caps w:val="0"/>
          <w:szCs w:val="22"/>
        </w:rPr>
      </w:pPr>
      <w:r w:rsidRPr="001B43C5">
        <w:rPr>
          <w:szCs w:val="22"/>
        </w:rPr>
        <w:t>¶</w:t>
      </w:r>
      <w:r w:rsidR="00D77976">
        <w:rPr>
          <w:caps w:val="0"/>
          <w:szCs w:val="22"/>
        </w:rPr>
        <w:t>853</w:t>
      </w:r>
      <w:r w:rsidRPr="001B43C5">
        <w:rPr>
          <w:caps w:val="0"/>
          <w:szCs w:val="22"/>
        </w:rPr>
        <w:tab/>
        <w:t xml:space="preserve">SPECIAL </w:t>
      </w:r>
      <w:r w:rsidR="00D77976">
        <w:rPr>
          <w:caps w:val="0"/>
          <w:szCs w:val="22"/>
        </w:rPr>
        <w:t>RELATIONSHIPS</w:t>
      </w:r>
      <w:r w:rsidRPr="001B43C5">
        <w:rPr>
          <w:caps w:val="0"/>
          <w:szCs w:val="22"/>
        </w:rPr>
        <w:t xml:space="preserve"> </w:t>
      </w:r>
    </w:p>
    <w:p w:rsidR="005D387D" w:rsidRPr="001B43C5" w:rsidRDefault="005D387D" w:rsidP="007053F2">
      <w:pPr>
        <w:spacing w:after="0" w:line="240" w:lineRule="auto"/>
        <w:ind w:left="-630"/>
        <w:rPr>
          <w:rFonts w:ascii="Times New Roman" w:hAnsi="Times New Roman" w:cs="Times New Roman"/>
        </w:rPr>
      </w:pPr>
      <w:r w:rsidRPr="001B43C5">
        <w:rPr>
          <w:rFonts w:ascii="Times New Roman" w:hAnsi="Times New Roman" w:cs="Times New Roman"/>
        </w:rPr>
        <w:t>LOCATED</w:t>
      </w:r>
    </w:p>
    <w:p w:rsidR="00657C39" w:rsidRDefault="005D387D" w:rsidP="007053F2">
      <w:pPr>
        <w:spacing w:after="0" w:line="240" w:lineRule="auto"/>
        <w:ind w:left="-630"/>
        <w:rPr>
          <w:rFonts w:ascii="Times New Roman" w:hAnsi="Times New Roman" w:cs="Times New Roman"/>
        </w:rPr>
      </w:pPr>
      <w:r w:rsidRPr="00236836">
        <w:rPr>
          <w:rFonts w:ascii="Times New Roman" w:hAnsi="Times New Roman" w:cs="Times New Roman"/>
        </w:rPr>
        <w:t>Located ministers are ordained persons who are not available to be appointed and so are located with their membership at a local church</w:t>
      </w:r>
      <w:r w:rsidR="002B1D2C" w:rsidRPr="00236836">
        <w:rPr>
          <w:rFonts w:ascii="Times New Roman" w:hAnsi="Times New Roman" w:cs="Times New Roman"/>
        </w:rPr>
        <w:t xml:space="preserve">.  Once located, they are </w:t>
      </w:r>
      <w:r w:rsidRPr="00236836">
        <w:rPr>
          <w:rFonts w:ascii="Times New Roman" w:hAnsi="Times New Roman" w:cs="Times New Roman"/>
        </w:rPr>
        <w:t xml:space="preserve">eligible to vote and </w:t>
      </w:r>
      <w:r w:rsidR="006504E1" w:rsidRPr="00236836">
        <w:rPr>
          <w:rFonts w:ascii="Times New Roman" w:hAnsi="Times New Roman" w:cs="Times New Roman"/>
        </w:rPr>
        <w:t xml:space="preserve">to </w:t>
      </w:r>
      <w:r w:rsidRPr="00236836">
        <w:rPr>
          <w:rFonts w:ascii="Times New Roman" w:hAnsi="Times New Roman" w:cs="Times New Roman"/>
        </w:rPr>
        <w:t>hold office at the local church</w:t>
      </w:r>
      <w:r w:rsidR="002B1D2C" w:rsidRPr="00236836">
        <w:rPr>
          <w:rFonts w:ascii="Times New Roman" w:hAnsi="Times New Roman" w:cs="Times New Roman"/>
        </w:rPr>
        <w:t>, and no longer eligible to vote at conference</w:t>
      </w:r>
      <w:r w:rsidRPr="00236836">
        <w:rPr>
          <w:rFonts w:ascii="Times New Roman" w:hAnsi="Times New Roman" w:cs="Times New Roman"/>
        </w:rPr>
        <w:t xml:space="preserve">.  They shall be accountable for their service to the local church, but, with respect to their doctrine, character and conduct, they shall be accountable to the </w:t>
      </w:r>
      <w:proofErr w:type="spellStart"/>
      <w:r w:rsidRPr="00236836">
        <w:rPr>
          <w:rFonts w:ascii="Times New Roman" w:hAnsi="Times New Roman" w:cs="Times New Roman"/>
        </w:rPr>
        <w:t>MEGaP</w:t>
      </w:r>
      <w:proofErr w:type="spellEnd"/>
      <w:r w:rsidRPr="00236836">
        <w:rPr>
          <w:rFonts w:ascii="Times New Roman" w:hAnsi="Times New Roman" w:cs="Times New Roman"/>
        </w:rPr>
        <w:t xml:space="preserve"> committee.</w:t>
      </w:r>
      <w:r w:rsidRPr="001B43C5">
        <w:rPr>
          <w:rFonts w:ascii="Times New Roman" w:hAnsi="Times New Roman" w:cs="Times New Roman"/>
        </w:rPr>
        <w:t xml:space="preserve">  </w:t>
      </w:r>
    </w:p>
    <w:p w:rsidR="007053F2" w:rsidRDefault="007053F2" w:rsidP="007053F2">
      <w:pPr>
        <w:spacing w:after="0" w:line="240" w:lineRule="auto"/>
        <w:ind w:left="-630"/>
        <w:rPr>
          <w:rFonts w:cs="Times New Roman"/>
          <w:b/>
          <w:color w:val="2F5496" w:themeColor="accent5" w:themeShade="BF"/>
        </w:rPr>
      </w:pPr>
    </w:p>
    <w:p w:rsidR="00EA582C" w:rsidRPr="00EA582C" w:rsidRDefault="00EA582C" w:rsidP="00EA582C">
      <w:pPr>
        <w:pStyle w:val="Heading1"/>
        <w:ind w:left="-630"/>
        <w:rPr>
          <w:rFonts w:ascii="Times New Roman" w:eastAsia="Times New Roman" w:hAnsi="Times New Roman" w:cs="Times New Roman"/>
          <w:b/>
          <w:color w:val="auto"/>
          <w:sz w:val="22"/>
          <w:szCs w:val="22"/>
        </w:rPr>
      </w:pPr>
      <w:r w:rsidRPr="00EA582C">
        <w:rPr>
          <w:rFonts w:ascii="Times New Roman" w:hAnsi="Times New Roman" w:cs="Times New Roman"/>
          <w:b/>
          <w:color w:val="auto"/>
          <w:sz w:val="22"/>
          <w:szCs w:val="22"/>
        </w:rPr>
        <w:t>¶860 OFFICE OF BISHOP</w:t>
      </w:r>
      <w:r w:rsidRPr="00EA582C">
        <w:rPr>
          <w:rFonts w:ascii="Times New Roman" w:eastAsia="Times New Roman" w:hAnsi="Times New Roman" w:cs="Times New Roman"/>
          <w:b/>
          <w:color w:val="auto"/>
          <w:sz w:val="22"/>
          <w:szCs w:val="22"/>
        </w:rPr>
        <w:t xml:space="preserve"> </w:t>
      </w:r>
    </w:p>
    <w:p w:rsidR="00EA582C" w:rsidRPr="00147A34" w:rsidRDefault="00EA582C" w:rsidP="00EA582C">
      <w:pPr>
        <w:pStyle w:val="BodyText"/>
        <w:ind w:left="-630"/>
        <w:rPr>
          <w:szCs w:val="22"/>
        </w:rPr>
      </w:pPr>
      <w:r w:rsidRPr="00147A34">
        <w:rPr>
          <w:szCs w:val="22"/>
        </w:rPr>
        <w:t xml:space="preserve">The bishop is elected to serve the church as an overseer.  This ordained minister functions as a teacher and defender of the faith, a general shepherd, a pastor to the pastors, and an administrator who by good example and faithful application of </w:t>
      </w:r>
      <w:r w:rsidRPr="00147A34">
        <w:rPr>
          <w:i/>
          <w:szCs w:val="22"/>
        </w:rPr>
        <w:t>The Manual</w:t>
      </w:r>
      <w:r w:rsidRPr="00147A34">
        <w:rPr>
          <w:szCs w:val="22"/>
        </w:rPr>
        <w:t xml:space="preserve"> assures the order of the church.  The bishop is to inspire the church by preaching and being an example of one who carries out Christ’s great commission. </w:t>
      </w:r>
    </w:p>
    <w:p w:rsidR="00EA582C" w:rsidRPr="00147A34" w:rsidRDefault="00EA582C" w:rsidP="00EA582C">
      <w:pPr>
        <w:pStyle w:val="BodyText"/>
        <w:ind w:left="-630"/>
        <w:rPr>
          <w:szCs w:val="22"/>
        </w:rPr>
      </w:pPr>
    </w:p>
    <w:p w:rsidR="00EA582C" w:rsidRPr="00236836" w:rsidRDefault="00EA582C" w:rsidP="00236836">
      <w:pPr>
        <w:pStyle w:val="BodyText"/>
        <w:ind w:left="-630"/>
        <w:rPr>
          <w:strike/>
        </w:rPr>
      </w:pPr>
      <w:r w:rsidRPr="00147A34">
        <w:rPr>
          <w:szCs w:val="22"/>
        </w:rPr>
        <w:t xml:space="preserve">As the national pastoral leader and chief executive officer of The Free Methodist Church in </w:t>
      </w:r>
      <w:smartTag w:uri="urn:schemas-microsoft-com:office:smarttags" w:element="place">
        <w:smartTag w:uri="urn:schemas-microsoft-com:office:smarttags" w:element="country-region">
          <w:r w:rsidRPr="00147A34">
            <w:rPr>
              <w:szCs w:val="22"/>
            </w:rPr>
            <w:t>Canada</w:t>
          </w:r>
        </w:smartTag>
      </w:smartTag>
      <w:r w:rsidRPr="00147A34">
        <w:rPr>
          <w:szCs w:val="22"/>
        </w:rPr>
        <w:t xml:space="preserve">, the bishop’s ministry of leadership encompasses spiritual, governance, administrative and representative dimensions.  Overseeing a broad range of persons, teams and activities, the primary responsibilities of the bishop include the </w:t>
      </w:r>
      <w:r w:rsidRPr="00236836">
        <w:rPr>
          <w:szCs w:val="22"/>
        </w:rPr>
        <w:t xml:space="preserve">development of the spiritual vitality, the administrative effectiveness and the strategic direction of the national church.  As chair of the general conference and chief executive officer of The Free Methodist Church in </w:t>
      </w:r>
      <w:smartTag w:uri="urn:schemas-microsoft-com:office:smarttags" w:element="country-region">
        <w:r w:rsidRPr="00236836">
          <w:rPr>
            <w:szCs w:val="22"/>
          </w:rPr>
          <w:t>Canada</w:t>
        </w:r>
      </w:smartTag>
      <w:r w:rsidRPr="00236836">
        <w:rPr>
          <w:szCs w:val="22"/>
        </w:rPr>
        <w:t xml:space="preserve"> and national leadership team, the bishop guides in the creation of vision and mission for the church today and in the future, leading to the growth and development of the church in </w:t>
      </w:r>
      <w:smartTag w:uri="urn:schemas-microsoft-com:office:smarttags" w:element="place">
        <w:smartTag w:uri="urn:schemas-microsoft-com:office:smarttags" w:element="country-region">
          <w:r w:rsidRPr="00236836">
            <w:rPr>
              <w:szCs w:val="22"/>
            </w:rPr>
            <w:t>Canada</w:t>
          </w:r>
        </w:smartTag>
      </w:smartTag>
      <w:r w:rsidRPr="00236836">
        <w:rPr>
          <w:szCs w:val="22"/>
        </w:rPr>
        <w:t>.</w:t>
      </w:r>
      <w:r w:rsidRPr="00236836">
        <w:rPr>
          <w:b/>
          <w:color w:val="FF0000"/>
          <w:szCs w:val="22"/>
        </w:rPr>
        <w:t xml:space="preserve">  </w:t>
      </w:r>
      <w:r w:rsidRPr="00236836">
        <w:rPr>
          <w:szCs w:val="22"/>
        </w:rPr>
        <w:t>The board of administration is responsible to ensure that a more detailed job description is kept current.</w:t>
      </w:r>
      <w:r w:rsidRPr="00236836">
        <w:rPr>
          <w:b/>
          <w:szCs w:val="22"/>
        </w:rPr>
        <w:t xml:space="preserve"> </w:t>
      </w:r>
    </w:p>
    <w:p w:rsidR="00EA582C" w:rsidRPr="00147A34" w:rsidRDefault="00EA582C" w:rsidP="00EA582C">
      <w:pPr>
        <w:ind w:left="-630"/>
      </w:pPr>
    </w:p>
    <w:p w:rsidR="00EA582C" w:rsidRPr="00147A34" w:rsidRDefault="001419ED" w:rsidP="00EA582C">
      <w:pPr>
        <w:pStyle w:val="Heading2"/>
        <w:ind w:left="-540"/>
        <w:jc w:val="both"/>
        <w:rPr>
          <w:szCs w:val="22"/>
        </w:rPr>
      </w:pPr>
      <w:r w:rsidRPr="00EA582C">
        <w:rPr>
          <w:szCs w:val="22"/>
        </w:rPr>
        <w:t>¶</w:t>
      </w:r>
      <w:r w:rsidR="00EA582C" w:rsidRPr="00147A34">
        <w:rPr>
          <w:caps w:val="0"/>
          <w:szCs w:val="22"/>
        </w:rPr>
        <w:t>Process for the Election of a Bishop</w:t>
      </w:r>
    </w:p>
    <w:p w:rsidR="00EA582C" w:rsidRPr="00C11DE2" w:rsidRDefault="00EA582C" w:rsidP="00EA582C">
      <w:pPr>
        <w:pStyle w:val="BodyText"/>
        <w:ind w:left="-540"/>
        <w:rPr>
          <w:b/>
          <w:i/>
          <w:szCs w:val="22"/>
        </w:rPr>
      </w:pPr>
    </w:p>
    <w:p w:rsidR="00EA582C" w:rsidRPr="00147A34" w:rsidRDefault="00EA582C" w:rsidP="00EA582C">
      <w:pPr>
        <w:pStyle w:val="BodyText"/>
        <w:ind w:left="-540"/>
        <w:rPr>
          <w:b/>
          <w:szCs w:val="22"/>
        </w:rPr>
      </w:pPr>
      <w:r w:rsidRPr="00147A34">
        <w:rPr>
          <w:szCs w:val="22"/>
        </w:rPr>
        <w:t xml:space="preserve">A bishop will normally indicate to the board of administration no later than six months in advance of a general conference if he/she does not intend to stand for re-election. </w:t>
      </w:r>
    </w:p>
    <w:p w:rsidR="00EA582C" w:rsidRPr="00147A34" w:rsidRDefault="00EA582C" w:rsidP="00EA582C">
      <w:pPr>
        <w:pStyle w:val="BodyText"/>
        <w:ind w:left="-540"/>
        <w:rPr>
          <w:szCs w:val="22"/>
        </w:rPr>
      </w:pPr>
    </w:p>
    <w:p w:rsidR="00EA582C" w:rsidRPr="00147A34" w:rsidRDefault="00EA582C" w:rsidP="00EA582C">
      <w:pPr>
        <w:pStyle w:val="BodyText"/>
        <w:ind w:left="-540"/>
        <w:rPr>
          <w:szCs w:val="22"/>
        </w:rPr>
      </w:pPr>
      <w:r w:rsidRPr="00147A34">
        <w:rPr>
          <w:szCs w:val="22"/>
        </w:rPr>
        <w:t>When a bishop declines to stand for re-election or when it otherwise becomes necessary to elect a</w:t>
      </w:r>
      <w:r w:rsidR="00236836">
        <w:rPr>
          <w:szCs w:val="22"/>
        </w:rPr>
        <w:t>,</w:t>
      </w:r>
      <w:r w:rsidRPr="00402915">
        <w:rPr>
          <w:szCs w:val="22"/>
        </w:rPr>
        <w:t xml:space="preserve"> </w:t>
      </w:r>
      <w:r w:rsidRPr="00147A34">
        <w:rPr>
          <w:szCs w:val="22"/>
        </w:rPr>
        <w:t>the following process will be followed:</w:t>
      </w:r>
    </w:p>
    <w:p w:rsidR="00EA582C" w:rsidRPr="00147A34" w:rsidRDefault="00EA582C" w:rsidP="00EA582C">
      <w:pPr>
        <w:pStyle w:val="BodyText"/>
        <w:ind w:left="-540"/>
        <w:rPr>
          <w:szCs w:val="22"/>
        </w:rPr>
      </w:pPr>
    </w:p>
    <w:p w:rsidR="00EA582C" w:rsidRPr="00147A34" w:rsidRDefault="00EA582C" w:rsidP="00EA582C">
      <w:pPr>
        <w:pStyle w:val="List"/>
        <w:numPr>
          <w:ilvl w:val="0"/>
          <w:numId w:val="3"/>
        </w:numPr>
        <w:tabs>
          <w:tab w:val="clear" w:pos="360"/>
          <w:tab w:val="num" w:pos="720"/>
        </w:tabs>
        <w:ind w:left="-180"/>
        <w:jc w:val="both"/>
        <w:rPr>
          <w:sz w:val="22"/>
          <w:szCs w:val="22"/>
        </w:rPr>
      </w:pPr>
      <w:r w:rsidRPr="00147A34">
        <w:rPr>
          <w:sz w:val="22"/>
          <w:szCs w:val="22"/>
        </w:rPr>
        <w:t>A bishop’s search committee of no less than four persons will be elected by the board of administration.</w:t>
      </w:r>
    </w:p>
    <w:p w:rsidR="00EA582C" w:rsidRPr="00147A34" w:rsidRDefault="00EA582C" w:rsidP="00EA582C">
      <w:pPr>
        <w:pStyle w:val="List"/>
        <w:numPr>
          <w:ilvl w:val="0"/>
          <w:numId w:val="3"/>
        </w:numPr>
        <w:tabs>
          <w:tab w:val="clear" w:pos="360"/>
          <w:tab w:val="num" w:pos="720"/>
        </w:tabs>
        <w:ind w:left="-180"/>
        <w:jc w:val="both"/>
        <w:rPr>
          <w:sz w:val="22"/>
          <w:szCs w:val="22"/>
        </w:rPr>
      </w:pPr>
      <w:r w:rsidRPr="00147A34">
        <w:rPr>
          <w:sz w:val="22"/>
          <w:szCs w:val="22"/>
        </w:rPr>
        <w:t>The search committee will survey all lay/ministerial delegates of the general conference for “suggestions” of Free Methodist ordained ministers to be considered.</w:t>
      </w:r>
    </w:p>
    <w:p w:rsidR="00EA582C" w:rsidRPr="00147A34" w:rsidRDefault="00EA582C" w:rsidP="00EA582C">
      <w:pPr>
        <w:pStyle w:val="List"/>
        <w:numPr>
          <w:ilvl w:val="0"/>
          <w:numId w:val="3"/>
        </w:numPr>
        <w:tabs>
          <w:tab w:val="clear" w:pos="360"/>
          <w:tab w:val="num" w:pos="720"/>
        </w:tabs>
        <w:ind w:left="-180"/>
        <w:jc w:val="both"/>
        <w:rPr>
          <w:sz w:val="22"/>
          <w:szCs w:val="22"/>
        </w:rPr>
      </w:pPr>
      <w:r w:rsidRPr="00147A34">
        <w:rPr>
          <w:sz w:val="22"/>
          <w:szCs w:val="22"/>
        </w:rPr>
        <w:t>The search committee will process the suggestions and from a short list, identify not more than three candidates to nominate for election.</w:t>
      </w:r>
    </w:p>
    <w:p w:rsidR="00EA582C" w:rsidRPr="00147A34" w:rsidRDefault="00EA582C" w:rsidP="00EA582C">
      <w:pPr>
        <w:pStyle w:val="List"/>
        <w:numPr>
          <w:ilvl w:val="0"/>
          <w:numId w:val="3"/>
        </w:numPr>
        <w:tabs>
          <w:tab w:val="clear" w:pos="360"/>
          <w:tab w:val="num" w:pos="720"/>
        </w:tabs>
        <w:ind w:left="-180"/>
        <w:jc w:val="both"/>
        <w:rPr>
          <w:sz w:val="22"/>
          <w:szCs w:val="22"/>
        </w:rPr>
      </w:pPr>
      <w:r w:rsidRPr="00147A34">
        <w:rPr>
          <w:sz w:val="22"/>
          <w:szCs w:val="22"/>
        </w:rPr>
        <w:t>The nomination(s) will be submitted to the general conference for election. To be elected an ordained minister must receive at least a majority vote.</w:t>
      </w:r>
    </w:p>
    <w:p w:rsidR="00EA582C" w:rsidRPr="00236836" w:rsidRDefault="00EA582C" w:rsidP="00EA582C">
      <w:pPr>
        <w:pStyle w:val="List"/>
        <w:numPr>
          <w:ilvl w:val="0"/>
          <w:numId w:val="3"/>
        </w:numPr>
        <w:tabs>
          <w:tab w:val="clear" w:pos="360"/>
          <w:tab w:val="num" w:pos="720"/>
        </w:tabs>
        <w:ind w:left="-180"/>
        <w:jc w:val="both"/>
        <w:rPr>
          <w:sz w:val="22"/>
          <w:szCs w:val="22"/>
        </w:rPr>
      </w:pPr>
      <w:r w:rsidRPr="00236836">
        <w:rPr>
          <w:sz w:val="22"/>
          <w:szCs w:val="22"/>
        </w:rPr>
        <w:t xml:space="preserve">The election shall be completed prior to the meeting of the general conference by a deadline set by the board of administration. </w:t>
      </w:r>
    </w:p>
    <w:p w:rsidR="00EA582C" w:rsidRPr="00236836" w:rsidRDefault="00EA582C" w:rsidP="00EA582C">
      <w:pPr>
        <w:pStyle w:val="List"/>
        <w:numPr>
          <w:ilvl w:val="0"/>
          <w:numId w:val="3"/>
        </w:numPr>
        <w:tabs>
          <w:tab w:val="clear" w:pos="360"/>
          <w:tab w:val="num" w:pos="720"/>
        </w:tabs>
        <w:ind w:left="-180"/>
        <w:jc w:val="both"/>
        <w:rPr>
          <w:sz w:val="22"/>
          <w:szCs w:val="22"/>
        </w:rPr>
      </w:pPr>
      <w:r w:rsidRPr="00236836">
        <w:rPr>
          <w:sz w:val="22"/>
          <w:szCs w:val="22"/>
        </w:rPr>
        <w:t>The board of administration shall ensure that there is a method to confidentially receive and record votes from the lay/ministerial delegates of the general conference.</w:t>
      </w:r>
    </w:p>
    <w:p w:rsidR="00EA582C" w:rsidRPr="00236836" w:rsidRDefault="00EA582C" w:rsidP="00EA582C">
      <w:pPr>
        <w:pStyle w:val="List"/>
        <w:numPr>
          <w:ilvl w:val="0"/>
          <w:numId w:val="3"/>
        </w:numPr>
        <w:tabs>
          <w:tab w:val="clear" w:pos="360"/>
          <w:tab w:val="num" w:pos="720"/>
        </w:tabs>
        <w:ind w:left="-180"/>
        <w:jc w:val="both"/>
        <w:rPr>
          <w:sz w:val="22"/>
          <w:szCs w:val="22"/>
        </w:rPr>
      </w:pPr>
      <w:r w:rsidRPr="00236836">
        <w:rPr>
          <w:sz w:val="22"/>
          <w:szCs w:val="22"/>
        </w:rPr>
        <w:t>The results of the election will be reported to lay/pastoral delegates of the general conference.</w:t>
      </w:r>
    </w:p>
    <w:p w:rsidR="00EA582C" w:rsidRPr="00236836" w:rsidRDefault="00EA582C" w:rsidP="00EA582C">
      <w:pPr>
        <w:pStyle w:val="List"/>
        <w:numPr>
          <w:ilvl w:val="0"/>
          <w:numId w:val="3"/>
        </w:numPr>
        <w:tabs>
          <w:tab w:val="clear" w:pos="360"/>
          <w:tab w:val="num" w:pos="720"/>
        </w:tabs>
        <w:ind w:left="-180"/>
        <w:jc w:val="both"/>
        <w:rPr>
          <w:sz w:val="22"/>
          <w:szCs w:val="22"/>
        </w:rPr>
      </w:pPr>
      <w:r w:rsidRPr="00236836">
        <w:rPr>
          <w:sz w:val="22"/>
          <w:szCs w:val="22"/>
        </w:rPr>
        <w:lastRenderedPageBreak/>
        <w:t xml:space="preserve">The incumbent bishop will provide orientation to the bishop-elect in the months prior to the meeting of the general conference.  </w:t>
      </w:r>
    </w:p>
    <w:p w:rsidR="00EA582C" w:rsidRPr="00236836" w:rsidRDefault="00EA582C" w:rsidP="00EA582C">
      <w:pPr>
        <w:pStyle w:val="List"/>
        <w:numPr>
          <w:ilvl w:val="0"/>
          <w:numId w:val="3"/>
        </w:numPr>
        <w:tabs>
          <w:tab w:val="clear" w:pos="360"/>
          <w:tab w:val="num" w:pos="720"/>
        </w:tabs>
        <w:ind w:left="-180"/>
        <w:jc w:val="both"/>
        <w:rPr>
          <w:sz w:val="22"/>
          <w:szCs w:val="22"/>
        </w:rPr>
      </w:pPr>
      <w:r w:rsidRPr="00236836">
        <w:rPr>
          <w:sz w:val="22"/>
          <w:szCs w:val="22"/>
        </w:rPr>
        <w:t>The bishop-elect will normally be consecrated when the general conference meets or, if necessary, at another time arranged by the board of administration.  He/she will not be employed by the general conference until he/she has been consecrated.</w:t>
      </w:r>
    </w:p>
    <w:p w:rsidR="00EA582C" w:rsidRPr="00236836" w:rsidRDefault="00EA582C" w:rsidP="00EA582C">
      <w:pPr>
        <w:pStyle w:val="List"/>
        <w:numPr>
          <w:ilvl w:val="0"/>
          <w:numId w:val="3"/>
        </w:numPr>
        <w:tabs>
          <w:tab w:val="clear" w:pos="360"/>
          <w:tab w:val="num" w:pos="720"/>
        </w:tabs>
        <w:ind w:left="-180"/>
        <w:jc w:val="both"/>
        <w:rPr>
          <w:sz w:val="22"/>
          <w:szCs w:val="22"/>
        </w:rPr>
      </w:pPr>
      <w:r w:rsidRPr="00236836">
        <w:rPr>
          <w:sz w:val="22"/>
          <w:szCs w:val="22"/>
        </w:rPr>
        <w:t>The bishop-elect assumes office at the conclusion of his/her consecration.</w:t>
      </w:r>
    </w:p>
    <w:p w:rsidR="00EA582C" w:rsidRPr="00B4421C" w:rsidRDefault="00EA582C" w:rsidP="00EA582C">
      <w:pPr>
        <w:tabs>
          <w:tab w:val="left" w:pos="547"/>
          <w:tab w:val="left" w:pos="1080"/>
          <w:tab w:val="left" w:pos="1440"/>
        </w:tabs>
        <w:ind w:left="-540"/>
        <w:jc w:val="both"/>
      </w:pPr>
    </w:p>
    <w:p w:rsidR="00EA582C" w:rsidRPr="00147A34" w:rsidRDefault="00EA582C" w:rsidP="00EA582C">
      <w:pPr>
        <w:pStyle w:val="BodyText"/>
        <w:ind w:left="-540"/>
        <w:rPr>
          <w:szCs w:val="22"/>
        </w:rPr>
      </w:pPr>
      <w:r w:rsidRPr="00147A34">
        <w:rPr>
          <w:szCs w:val="22"/>
        </w:rPr>
        <w:t>If the bishop’s office is vacated within six months prior to a general conference, it shall be left vacant for the ensuing general conference to fill.</w:t>
      </w:r>
      <w:r w:rsidRPr="00147A34">
        <w:rPr>
          <w:szCs w:val="22"/>
        </w:rPr>
        <w:tab/>
      </w:r>
    </w:p>
    <w:p w:rsidR="00EA582C" w:rsidRPr="00147A34" w:rsidRDefault="00EA582C" w:rsidP="00EA582C">
      <w:pPr>
        <w:pStyle w:val="BodyText"/>
        <w:ind w:left="-540"/>
        <w:rPr>
          <w:szCs w:val="22"/>
        </w:rPr>
      </w:pPr>
      <w:bookmarkStart w:id="0" w:name="_GoBack"/>
      <w:bookmarkEnd w:id="0"/>
    </w:p>
    <w:p w:rsidR="00EA582C" w:rsidRPr="00147A34" w:rsidRDefault="00EA582C" w:rsidP="00EA582C">
      <w:pPr>
        <w:pStyle w:val="BodyText"/>
        <w:ind w:left="-540"/>
        <w:rPr>
          <w:szCs w:val="22"/>
        </w:rPr>
      </w:pPr>
      <w:r w:rsidRPr="00147A34">
        <w:rPr>
          <w:szCs w:val="22"/>
        </w:rPr>
        <w:t>Bishops shall be amenable to the conference for their character and for the discharge of the duties. They shall report at least annually to the board of administration on the state of the work.</w:t>
      </w:r>
    </w:p>
    <w:p w:rsidR="00EA582C" w:rsidRPr="00147A34" w:rsidRDefault="00EA582C" w:rsidP="00EA582C">
      <w:pPr>
        <w:pStyle w:val="BodyText"/>
        <w:ind w:left="-540"/>
        <w:rPr>
          <w:szCs w:val="22"/>
        </w:rPr>
      </w:pPr>
    </w:p>
    <w:p w:rsidR="00EA582C" w:rsidRPr="00147A34" w:rsidRDefault="00EA582C" w:rsidP="00EA582C">
      <w:pPr>
        <w:pStyle w:val="BodyText"/>
        <w:ind w:left="-540"/>
        <w:rPr>
          <w:szCs w:val="22"/>
        </w:rPr>
      </w:pPr>
      <w:r w:rsidRPr="00147A34">
        <w:rPr>
          <w:szCs w:val="22"/>
        </w:rPr>
        <w:t>When bishops or former bishops retire, they shall be given the title of Bishop Emeritus provided they have served the church as bishop for a minimum of six years.</w:t>
      </w:r>
    </w:p>
    <w:p w:rsidR="00EA582C" w:rsidRPr="00147A34" w:rsidRDefault="00EA582C" w:rsidP="00EA582C">
      <w:pPr>
        <w:pStyle w:val="BodyText"/>
        <w:ind w:left="-540"/>
        <w:rPr>
          <w:szCs w:val="22"/>
        </w:rPr>
      </w:pPr>
    </w:p>
    <w:p w:rsidR="00D073DC" w:rsidRDefault="00EA582C" w:rsidP="00D073DC">
      <w:pPr>
        <w:pStyle w:val="BodyText"/>
        <w:ind w:left="-540"/>
        <w:rPr>
          <w:rFonts w:asciiTheme="minorHAnsi" w:hAnsiTheme="minorHAnsi"/>
          <w:b/>
          <w:color w:val="1F3864" w:themeColor="accent5" w:themeShade="80"/>
          <w:szCs w:val="22"/>
        </w:rPr>
      </w:pPr>
      <w:r w:rsidRPr="00236836">
        <w:rPr>
          <w:szCs w:val="22"/>
        </w:rPr>
        <w:t>The salary of a bishop shall be raised in the CORE budget. The</w:t>
      </w:r>
      <w:r w:rsidRPr="00236836">
        <w:rPr>
          <w:b/>
          <w:color w:val="FF0000"/>
          <w:szCs w:val="22"/>
        </w:rPr>
        <w:t xml:space="preserve"> </w:t>
      </w:r>
      <w:r w:rsidRPr="00236836">
        <w:rPr>
          <w:szCs w:val="22"/>
        </w:rPr>
        <w:t xml:space="preserve">management committee </w:t>
      </w:r>
      <w:r w:rsidR="00E4701D" w:rsidRPr="00236836">
        <w:rPr>
          <w:szCs w:val="22"/>
        </w:rPr>
        <w:t xml:space="preserve">(with input from the personnel committee) </w:t>
      </w:r>
      <w:r w:rsidRPr="00236836">
        <w:rPr>
          <w:szCs w:val="22"/>
        </w:rPr>
        <w:t>has authority to establish the salary of the bishop. Upon retirement the bishop shall receive a pension in accordance with the Ministers Pension Plan of The Free Methodist Church in Canada.</w:t>
      </w:r>
      <w:r w:rsidR="00B4421C" w:rsidRPr="00B4421C">
        <w:rPr>
          <w:rFonts w:asciiTheme="minorHAnsi" w:hAnsiTheme="minorHAnsi"/>
          <w:b/>
          <w:color w:val="1F3864" w:themeColor="accent5" w:themeShade="80"/>
          <w:szCs w:val="22"/>
        </w:rPr>
        <w:t xml:space="preserve">  </w:t>
      </w:r>
    </w:p>
    <w:p w:rsidR="00D073DC" w:rsidRDefault="00D073DC" w:rsidP="00D073DC">
      <w:pPr>
        <w:pStyle w:val="BodyText"/>
        <w:ind w:left="-540"/>
        <w:rPr>
          <w:rFonts w:asciiTheme="minorHAnsi" w:hAnsiTheme="minorHAnsi"/>
          <w:b/>
          <w:color w:val="1F3864" w:themeColor="accent5" w:themeShade="80"/>
          <w:szCs w:val="22"/>
        </w:rPr>
      </w:pPr>
    </w:p>
    <w:p w:rsidR="00D073DC" w:rsidRPr="00EA582C" w:rsidRDefault="00D073DC" w:rsidP="00D073DC">
      <w:pPr>
        <w:pStyle w:val="Heading1"/>
        <w:ind w:left="-630"/>
        <w:rPr>
          <w:rFonts w:ascii="Times New Roman" w:eastAsia="Times New Roman" w:hAnsi="Times New Roman" w:cs="Times New Roman"/>
          <w:b/>
          <w:color w:val="auto"/>
          <w:sz w:val="22"/>
          <w:szCs w:val="22"/>
        </w:rPr>
      </w:pPr>
      <w:r w:rsidRPr="00EA582C">
        <w:rPr>
          <w:rFonts w:ascii="Times New Roman" w:hAnsi="Times New Roman" w:cs="Times New Roman"/>
          <w:b/>
          <w:color w:val="auto"/>
          <w:sz w:val="22"/>
          <w:szCs w:val="22"/>
        </w:rPr>
        <w:t>¶8</w:t>
      </w:r>
      <w:r>
        <w:rPr>
          <w:rFonts w:ascii="Times New Roman" w:hAnsi="Times New Roman" w:cs="Times New Roman"/>
          <w:b/>
          <w:color w:val="auto"/>
          <w:sz w:val="22"/>
          <w:szCs w:val="22"/>
        </w:rPr>
        <w:t>79 LETTER OF UNDERSTANDING</w:t>
      </w:r>
      <w:r w:rsidR="00512041">
        <w:rPr>
          <w:rFonts w:ascii="Times New Roman" w:hAnsi="Times New Roman" w:cs="Times New Roman"/>
          <w:b/>
          <w:color w:val="auto"/>
          <w:sz w:val="22"/>
          <w:szCs w:val="22"/>
        </w:rPr>
        <w:t xml:space="preserve"> TEMPLATE</w:t>
      </w:r>
      <w:r>
        <w:rPr>
          <w:rFonts w:ascii="Times New Roman" w:hAnsi="Times New Roman" w:cs="Times New Roman"/>
          <w:b/>
          <w:color w:val="auto"/>
          <w:sz w:val="22"/>
          <w:szCs w:val="22"/>
        </w:rPr>
        <w:t xml:space="preserve"> </w:t>
      </w:r>
    </w:p>
    <w:p w:rsidR="00236836" w:rsidRPr="00512041" w:rsidRDefault="00512041" w:rsidP="00236836">
      <w:pPr>
        <w:ind w:left="-630"/>
        <w:rPr>
          <w:rFonts w:ascii="Times New Roman" w:hAnsi="Times New Roman" w:cs="Times New Roman"/>
        </w:rPr>
      </w:pPr>
      <w:r w:rsidRPr="00236836">
        <w:rPr>
          <w:rFonts w:ascii="Times New Roman" w:hAnsi="Times New Roman" w:cs="Times New Roman"/>
        </w:rPr>
        <w:t xml:space="preserve">A Letter of Understanding Template is available on the FMCiC website at: </w:t>
      </w:r>
      <w:hyperlink r:id="rId7" w:history="1">
        <w:r w:rsidR="00236836" w:rsidRPr="00292790">
          <w:rPr>
            <w:rStyle w:val="Hyperlink"/>
            <w:rFonts w:ascii="Times New Roman" w:hAnsi="Times New Roman" w:cs="Times New Roman"/>
          </w:rPr>
          <w:t>http://fmcic.ca/chapter-8-forms/</w:t>
        </w:r>
      </w:hyperlink>
      <w:r w:rsidR="00236836">
        <w:rPr>
          <w:rFonts w:ascii="Times New Roman" w:hAnsi="Times New Roman" w:cs="Times New Roman"/>
        </w:rPr>
        <w:t xml:space="preserve"> </w:t>
      </w:r>
    </w:p>
    <w:p w:rsidR="00236836" w:rsidRDefault="00236836" w:rsidP="00236836">
      <w:pPr>
        <w:ind w:left="-630"/>
        <w:rPr>
          <w:rFonts w:ascii="Times New Roman" w:hAnsi="Times New Roman" w:cs="Times New Roman"/>
          <w:b/>
        </w:rPr>
      </w:pPr>
    </w:p>
    <w:p w:rsidR="00D073DC" w:rsidRDefault="00512041" w:rsidP="00236836">
      <w:pPr>
        <w:ind w:left="-630"/>
        <w:rPr>
          <w:rFonts w:ascii="Times New Roman" w:hAnsi="Times New Roman" w:cs="Times New Roman"/>
          <w:b/>
        </w:rPr>
      </w:pPr>
      <w:r w:rsidRPr="00EA582C">
        <w:rPr>
          <w:rFonts w:ascii="Times New Roman" w:hAnsi="Times New Roman" w:cs="Times New Roman"/>
          <w:b/>
        </w:rPr>
        <w:t>¶8</w:t>
      </w:r>
      <w:r>
        <w:rPr>
          <w:rFonts w:ascii="Times New Roman" w:hAnsi="Times New Roman" w:cs="Times New Roman"/>
          <w:b/>
        </w:rPr>
        <w:t>80 TERMINATION OF EMPLOYMENT AGREEMENT</w:t>
      </w:r>
    </w:p>
    <w:p w:rsidR="00512041" w:rsidRDefault="00512041" w:rsidP="00512041">
      <w:pPr>
        <w:ind w:left="-630"/>
        <w:rPr>
          <w:rFonts w:ascii="Times New Roman" w:hAnsi="Times New Roman" w:cs="Times New Roman"/>
        </w:rPr>
      </w:pPr>
      <w:r w:rsidRPr="00236836">
        <w:rPr>
          <w:rFonts w:ascii="Times New Roman" w:hAnsi="Times New Roman" w:cs="Times New Roman"/>
        </w:rPr>
        <w:t xml:space="preserve">A Termination of Employment Template is available on the FMCiC website at: </w:t>
      </w:r>
      <w:hyperlink r:id="rId8" w:history="1">
        <w:r w:rsidR="00236836" w:rsidRPr="00292790">
          <w:rPr>
            <w:rStyle w:val="Hyperlink"/>
            <w:rFonts w:ascii="Times New Roman" w:hAnsi="Times New Roman" w:cs="Times New Roman"/>
          </w:rPr>
          <w:t>http://fmcic.ca/chapter-8-forms/</w:t>
        </w:r>
      </w:hyperlink>
      <w:r w:rsidR="00236836">
        <w:rPr>
          <w:rFonts w:ascii="Times New Roman" w:hAnsi="Times New Roman" w:cs="Times New Roman"/>
        </w:rPr>
        <w:t xml:space="preserve"> </w:t>
      </w:r>
    </w:p>
    <w:sectPr w:rsidR="005120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6C" w:rsidRDefault="003B6E6C" w:rsidP="007053F2">
      <w:pPr>
        <w:spacing w:after="0" w:line="240" w:lineRule="auto"/>
      </w:pPr>
      <w:r>
        <w:separator/>
      </w:r>
    </w:p>
  </w:endnote>
  <w:endnote w:type="continuationSeparator" w:id="0">
    <w:p w:rsidR="003B6E6C" w:rsidRDefault="003B6E6C" w:rsidP="0070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40120"/>
      <w:docPartObj>
        <w:docPartGallery w:val="Page Numbers (Bottom of Page)"/>
        <w:docPartUnique/>
      </w:docPartObj>
    </w:sdtPr>
    <w:sdtEndPr>
      <w:rPr>
        <w:noProof/>
      </w:rPr>
    </w:sdtEndPr>
    <w:sdtContent>
      <w:p w:rsidR="007053F2" w:rsidRDefault="007053F2">
        <w:pPr>
          <w:pStyle w:val="Footer"/>
          <w:jc w:val="right"/>
        </w:pPr>
        <w:r>
          <w:fldChar w:fldCharType="begin"/>
        </w:r>
        <w:r>
          <w:instrText xml:space="preserve"> PAGE   \* MERGEFORMAT </w:instrText>
        </w:r>
        <w:r>
          <w:fldChar w:fldCharType="separate"/>
        </w:r>
        <w:r w:rsidR="00236836">
          <w:rPr>
            <w:noProof/>
          </w:rPr>
          <w:t>1</w:t>
        </w:r>
        <w:r>
          <w:rPr>
            <w:noProof/>
          </w:rPr>
          <w:fldChar w:fldCharType="end"/>
        </w:r>
      </w:p>
    </w:sdtContent>
  </w:sdt>
  <w:p w:rsidR="00E303F7" w:rsidRPr="008A4D71" w:rsidRDefault="003B6E6C" w:rsidP="008A4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6C" w:rsidRDefault="003B6E6C" w:rsidP="007053F2">
      <w:pPr>
        <w:spacing w:after="0" w:line="240" w:lineRule="auto"/>
      </w:pPr>
      <w:r>
        <w:separator/>
      </w:r>
    </w:p>
  </w:footnote>
  <w:footnote w:type="continuationSeparator" w:id="0">
    <w:p w:rsidR="003B6E6C" w:rsidRDefault="003B6E6C" w:rsidP="00705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73C3"/>
    <w:multiLevelType w:val="hybridMultilevel"/>
    <w:tmpl w:val="E8C6A81A"/>
    <w:lvl w:ilvl="0" w:tplc="922E83C8">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88B"/>
    <w:multiLevelType w:val="hybridMultilevel"/>
    <w:tmpl w:val="1534DAA4"/>
    <w:lvl w:ilvl="0" w:tplc="AF6AFEB4">
      <w:start w:val="1"/>
      <w:numFmt w:val="decimal"/>
      <w:lvlText w:val="%1."/>
      <w:lvlJc w:val="left"/>
      <w:pPr>
        <w:ind w:left="-180" w:hanging="360"/>
      </w:pPr>
      <w:rPr>
        <w:rFonts w:eastAsiaTheme="minorHAnsi" w:hint="default"/>
        <w:color w:val="4472C4" w:themeColor="accent5"/>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2">
    <w:nsid w:val="2238090C"/>
    <w:multiLevelType w:val="hybridMultilevel"/>
    <w:tmpl w:val="7910BB04"/>
    <w:lvl w:ilvl="0" w:tplc="7CB809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FB7AA3"/>
    <w:multiLevelType w:val="hybridMultilevel"/>
    <w:tmpl w:val="CD10845E"/>
    <w:lvl w:ilvl="0" w:tplc="D8664E8E">
      <w:start w:val="1"/>
      <w:numFmt w:val="bullet"/>
      <w:lvlText w:val=""/>
      <w:lvlJc w:val="left"/>
      <w:pPr>
        <w:tabs>
          <w:tab w:val="num" w:pos="1005"/>
        </w:tabs>
        <w:ind w:left="1005" w:hanging="360"/>
      </w:pPr>
      <w:rPr>
        <w:rFonts w:ascii="Symbol" w:hAnsi="Symbol" w:hint="default"/>
        <w:strike w:val="0"/>
        <w:color w:val="auto"/>
      </w:rPr>
    </w:lvl>
    <w:lvl w:ilvl="1" w:tplc="42507548">
      <w:start w:val="4"/>
      <w:numFmt w:val="bullet"/>
      <w:lvlText w:val="-"/>
      <w:lvlJc w:val="left"/>
      <w:pPr>
        <w:tabs>
          <w:tab w:val="num" w:pos="1725"/>
        </w:tabs>
        <w:ind w:left="1725" w:hanging="360"/>
      </w:pPr>
      <w:rPr>
        <w:rFonts w:ascii="Times New Roman" w:eastAsia="Times New Roman" w:hAnsi="Times New Roman" w:cs="Times New Roman" w:hint="default"/>
      </w:rPr>
    </w:lvl>
    <w:lvl w:ilvl="2" w:tplc="04090005">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4">
    <w:nsid w:val="42A73EFE"/>
    <w:multiLevelType w:val="hybridMultilevel"/>
    <w:tmpl w:val="58C4CCE6"/>
    <w:lvl w:ilvl="0" w:tplc="4740C35C">
      <w:start w:val="1"/>
      <w:numFmt w:val="decimal"/>
      <w:lvlText w:val="%1."/>
      <w:lvlJc w:val="left"/>
      <w:pPr>
        <w:ind w:left="-270" w:hanging="360"/>
      </w:pPr>
      <w:rPr>
        <w:rFonts w:hint="default"/>
        <w:color w:val="1F3864" w:themeColor="accent5" w:themeShade="80"/>
        <w:sz w:val="22"/>
        <w:szCs w:val="22"/>
      </w:rPr>
    </w:lvl>
    <w:lvl w:ilvl="1" w:tplc="10090019" w:tentative="1">
      <w:start w:val="1"/>
      <w:numFmt w:val="lowerLetter"/>
      <w:lvlText w:val="%2."/>
      <w:lvlJc w:val="left"/>
      <w:pPr>
        <w:ind w:left="450" w:hanging="360"/>
      </w:pPr>
    </w:lvl>
    <w:lvl w:ilvl="2" w:tplc="1009001B" w:tentative="1">
      <w:start w:val="1"/>
      <w:numFmt w:val="lowerRoman"/>
      <w:lvlText w:val="%3."/>
      <w:lvlJc w:val="right"/>
      <w:pPr>
        <w:ind w:left="1170" w:hanging="180"/>
      </w:pPr>
    </w:lvl>
    <w:lvl w:ilvl="3" w:tplc="1009000F" w:tentative="1">
      <w:start w:val="1"/>
      <w:numFmt w:val="decimal"/>
      <w:lvlText w:val="%4."/>
      <w:lvlJc w:val="left"/>
      <w:pPr>
        <w:ind w:left="1890" w:hanging="360"/>
      </w:pPr>
    </w:lvl>
    <w:lvl w:ilvl="4" w:tplc="10090019" w:tentative="1">
      <w:start w:val="1"/>
      <w:numFmt w:val="lowerLetter"/>
      <w:lvlText w:val="%5."/>
      <w:lvlJc w:val="left"/>
      <w:pPr>
        <w:ind w:left="2610" w:hanging="360"/>
      </w:pPr>
    </w:lvl>
    <w:lvl w:ilvl="5" w:tplc="1009001B" w:tentative="1">
      <w:start w:val="1"/>
      <w:numFmt w:val="lowerRoman"/>
      <w:lvlText w:val="%6."/>
      <w:lvlJc w:val="right"/>
      <w:pPr>
        <w:ind w:left="3330" w:hanging="180"/>
      </w:pPr>
    </w:lvl>
    <w:lvl w:ilvl="6" w:tplc="1009000F" w:tentative="1">
      <w:start w:val="1"/>
      <w:numFmt w:val="decimal"/>
      <w:lvlText w:val="%7."/>
      <w:lvlJc w:val="left"/>
      <w:pPr>
        <w:ind w:left="4050" w:hanging="360"/>
      </w:pPr>
    </w:lvl>
    <w:lvl w:ilvl="7" w:tplc="10090019" w:tentative="1">
      <w:start w:val="1"/>
      <w:numFmt w:val="lowerLetter"/>
      <w:lvlText w:val="%8."/>
      <w:lvlJc w:val="left"/>
      <w:pPr>
        <w:ind w:left="4770" w:hanging="360"/>
      </w:pPr>
    </w:lvl>
    <w:lvl w:ilvl="8" w:tplc="1009001B" w:tentative="1">
      <w:start w:val="1"/>
      <w:numFmt w:val="lowerRoman"/>
      <w:lvlText w:val="%9."/>
      <w:lvlJc w:val="right"/>
      <w:pPr>
        <w:ind w:left="5490" w:hanging="180"/>
      </w:pPr>
    </w:lvl>
  </w:abstractNum>
  <w:abstractNum w:abstractNumId="5">
    <w:nsid w:val="456F7E3F"/>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56537388"/>
    <w:multiLevelType w:val="hybridMultilevel"/>
    <w:tmpl w:val="074E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61042"/>
    <w:multiLevelType w:val="hybridMultilevel"/>
    <w:tmpl w:val="B192E1B6"/>
    <w:lvl w:ilvl="0" w:tplc="A32C3960">
      <w:start w:val="1"/>
      <w:numFmt w:val="decimal"/>
      <w:lvlText w:val="%1."/>
      <w:lvlJc w:val="left"/>
      <w:pPr>
        <w:ind w:left="720" w:hanging="360"/>
      </w:pPr>
      <w:rPr>
        <w:rFonts w:asciiTheme="minorHAnsi" w:eastAsiaTheme="minorHAnsi" w:hAnsiTheme="minorHAnsi" w:cs="Times New Roman"/>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2696DA-831F-49F3-A45B-0F0D4CE061AE}"/>
    <w:docVar w:name="dgnword-eventsink" w:val="336822632"/>
  </w:docVars>
  <w:rsids>
    <w:rsidRoot w:val="005D387D"/>
    <w:rsid w:val="00040425"/>
    <w:rsid w:val="0009212C"/>
    <w:rsid w:val="00094C95"/>
    <w:rsid w:val="00140D0D"/>
    <w:rsid w:val="001419ED"/>
    <w:rsid w:val="001B43C5"/>
    <w:rsid w:val="002311A0"/>
    <w:rsid w:val="00236836"/>
    <w:rsid w:val="002B1D2C"/>
    <w:rsid w:val="002D4C14"/>
    <w:rsid w:val="003742BF"/>
    <w:rsid w:val="003B6E6C"/>
    <w:rsid w:val="0051048B"/>
    <w:rsid w:val="00512041"/>
    <w:rsid w:val="005D387D"/>
    <w:rsid w:val="006504E1"/>
    <w:rsid w:val="00657C39"/>
    <w:rsid w:val="007053F2"/>
    <w:rsid w:val="00724EF7"/>
    <w:rsid w:val="00811CC3"/>
    <w:rsid w:val="00823D9C"/>
    <w:rsid w:val="00872E1A"/>
    <w:rsid w:val="008D17A9"/>
    <w:rsid w:val="0091358B"/>
    <w:rsid w:val="00931B6A"/>
    <w:rsid w:val="00AB1946"/>
    <w:rsid w:val="00AC7973"/>
    <w:rsid w:val="00B4421C"/>
    <w:rsid w:val="00CF1C9A"/>
    <w:rsid w:val="00D073DC"/>
    <w:rsid w:val="00D33BF3"/>
    <w:rsid w:val="00D77976"/>
    <w:rsid w:val="00D91275"/>
    <w:rsid w:val="00E4701D"/>
    <w:rsid w:val="00EA582C"/>
    <w:rsid w:val="00E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1F61476-67A9-47C5-9A5E-8202A108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87D"/>
    <w:pPr>
      <w:spacing w:after="160" w:line="259" w:lineRule="auto"/>
    </w:pPr>
    <w:rPr>
      <w:lang w:val="en-CA"/>
    </w:rPr>
  </w:style>
  <w:style w:type="paragraph" w:styleId="Heading1">
    <w:name w:val="heading 1"/>
    <w:basedOn w:val="Normal"/>
    <w:next w:val="Normal"/>
    <w:link w:val="Heading1Char"/>
    <w:uiPriority w:val="9"/>
    <w:qFormat/>
    <w:rsid w:val="001B43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D387D"/>
    <w:pPr>
      <w:keepNext/>
      <w:tabs>
        <w:tab w:val="left" w:pos="547"/>
        <w:tab w:val="left" w:pos="1080"/>
        <w:tab w:val="left" w:pos="1440"/>
      </w:tabs>
      <w:spacing w:after="0" w:line="240" w:lineRule="auto"/>
      <w:outlineLvl w:val="1"/>
    </w:pPr>
    <w:rPr>
      <w:rFonts w:ascii="Times New Roman" w:eastAsia="Times New Roman" w:hAnsi="Times New Roman" w:cs="Times New Roman"/>
      <w:b/>
      <w:cap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7D"/>
    <w:pPr>
      <w:ind w:left="720"/>
      <w:contextualSpacing/>
    </w:pPr>
  </w:style>
  <w:style w:type="character" w:customStyle="1" w:styleId="Heading2Char">
    <w:name w:val="Heading 2 Char"/>
    <w:basedOn w:val="DefaultParagraphFont"/>
    <w:link w:val="Heading2"/>
    <w:rsid w:val="005D387D"/>
    <w:rPr>
      <w:rFonts w:ascii="Times New Roman" w:eastAsia="Times New Roman" w:hAnsi="Times New Roman" w:cs="Times New Roman"/>
      <w:b/>
      <w:caps/>
      <w:szCs w:val="20"/>
    </w:rPr>
  </w:style>
  <w:style w:type="character" w:customStyle="1" w:styleId="Heading1Char">
    <w:name w:val="Heading 1 Char"/>
    <w:basedOn w:val="DefaultParagraphFont"/>
    <w:link w:val="Heading1"/>
    <w:uiPriority w:val="9"/>
    <w:rsid w:val="001B43C5"/>
    <w:rPr>
      <w:rFonts w:asciiTheme="majorHAnsi" w:eastAsiaTheme="majorEastAsia" w:hAnsiTheme="majorHAnsi" w:cstheme="majorBidi"/>
      <w:color w:val="2E74B5" w:themeColor="accent1" w:themeShade="BF"/>
      <w:sz w:val="32"/>
      <w:szCs w:val="32"/>
      <w:lang w:val="en-CA"/>
    </w:rPr>
  </w:style>
  <w:style w:type="paragraph" w:styleId="ListBullet2">
    <w:name w:val="List Bullet 2"/>
    <w:basedOn w:val="Normal"/>
    <w:autoRedefine/>
    <w:rsid w:val="00EA582C"/>
    <w:pPr>
      <w:numPr>
        <w:numId w:val="6"/>
      </w:numPr>
      <w:tabs>
        <w:tab w:val="clear" w:pos="720"/>
        <w:tab w:val="num" w:pos="360"/>
      </w:tabs>
      <w:spacing w:after="0" w:line="240" w:lineRule="auto"/>
      <w:ind w:left="360"/>
    </w:pPr>
    <w:rPr>
      <w:rFonts w:ascii="Times New Roman" w:eastAsia="Times New Roman" w:hAnsi="Times New Roman" w:cs="Times New Roman"/>
      <w:szCs w:val="20"/>
      <w:lang w:val="en-GB"/>
    </w:rPr>
  </w:style>
  <w:style w:type="paragraph" w:styleId="BodyText">
    <w:name w:val="Body Text"/>
    <w:basedOn w:val="Normal"/>
    <w:link w:val="BodyTextChar"/>
    <w:rsid w:val="00EA582C"/>
    <w:pPr>
      <w:tabs>
        <w:tab w:val="left" w:pos="547"/>
        <w:tab w:val="left" w:pos="1080"/>
        <w:tab w:val="left" w:pos="144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A582C"/>
    <w:rPr>
      <w:rFonts w:ascii="Times New Roman" w:eastAsia="Times New Roman" w:hAnsi="Times New Roman" w:cs="Times New Roman"/>
      <w:szCs w:val="20"/>
      <w:lang w:val="en-CA"/>
    </w:rPr>
  </w:style>
  <w:style w:type="paragraph" w:styleId="ListBullet">
    <w:name w:val="List Bullet"/>
    <w:basedOn w:val="Normal"/>
    <w:autoRedefine/>
    <w:rsid w:val="00EA582C"/>
    <w:pPr>
      <w:spacing w:after="0" w:line="240" w:lineRule="auto"/>
      <w:jc w:val="both"/>
    </w:pPr>
    <w:rPr>
      <w:rFonts w:ascii="Times New Roman" w:eastAsia="Times New Roman" w:hAnsi="Times New Roman" w:cs="Times New Roman"/>
      <w:sz w:val="20"/>
      <w:szCs w:val="20"/>
    </w:rPr>
  </w:style>
  <w:style w:type="paragraph" w:styleId="Footer">
    <w:name w:val="footer"/>
    <w:basedOn w:val="Normal"/>
    <w:link w:val="FooterChar"/>
    <w:uiPriority w:val="99"/>
    <w:rsid w:val="00EA582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EA582C"/>
    <w:rPr>
      <w:rFonts w:ascii="Times New Roman" w:eastAsia="Times New Roman" w:hAnsi="Times New Roman" w:cs="Times New Roman"/>
      <w:sz w:val="24"/>
      <w:szCs w:val="20"/>
    </w:rPr>
  </w:style>
  <w:style w:type="paragraph" w:styleId="List">
    <w:name w:val="List"/>
    <w:basedOn w:val="Normal"/>
    <w:rsid w:val="00EA582C"/>
    <w:pPr>
      <w:spacing w:after="0" w:line="240" w:lineRule="auto"/>
      <w:ind w:left="360" w:hanging="360"/>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05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F2"/>
    <w:rPr>
      <w:lang w:val="en-CA"/>
    </w:rPr>
  </w:style>
  <w:style w:type="paragraph" w:styleId="BalloonText">
    <w:name w:val="Balloon Text"/>
    <w:basedOn w:val="Normal"/>
    <w:link w:val="BalloonTextChar"/>
    <w:uiPriority w:val="99"/>
    <w:semiHidden/>
    <w:unhideWhenUsed/>
    <w:rsid w:val="00931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6A"/>
    <w:rPr>
      <w:rFonts w:ascii="Segoe UI" w:hAnsi="Segoe UI" w:cs="Segoe UI"/>
      <w:sz w:val="18"/>
      <w:szCs w:val="18"/>
      <w:lang w:val="en-CA"/>
    </w:rPr>
  </w:style>
  <w:style w:type="character" w:styleId="Hyperlink">
    <w:name w:val="Hyperlink"/>
    <w:basedOn w:val="DefaultParagraphFont"/>
    <w:uiPriority w:val="99"/>
    <w:unhideWhenUsed/>
    <w:rsid w:val="00236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mcic.ca/chapter-8-forms/" TargetMode="External"/><Relationship Id="rId3" Type="http://schemas.openxmlformats.org/officeDocument/2006/relationships/settings" Target="settings.xml"/><Relationship Id="rId7" Type="http://schemas.openxmlformats.org/officeDocument/2006/relationships/hyperlink" Target="http://fmcic.ca/chapter-8-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 Office FMCiC-Susan DePlanché</dc:creator>
  <cp:keywords/>
  <dc:description/>
  <cp:lastModifiedBy>Kalesha Peters</cp:lastModifiedBy>
  <cp:revision>4</cp:revision>
  <cp:lastPrinted>2016-02-17T16:33:00Z</cp:lastPrinted>
  <dcterms:created xsi:type="dcterms:W3CDTF">2016-03-08T14:06:00Z</dcterms:created>
  <dcterms:modified xsi:type="dcterms:W3CDTF">2016-03-08T14:12:00Z</dcterms:modified>
</cp:coreProperties>
</file>